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0C9" w:rsidRPr="004700C9" w:rsidRDefault="004700C9" w:rsidP="004700C9">
      <w:pPr>
        <w:pStyle w:val="pc"/>
        <w:shd w:val="clear" w:color="auto" w:fill="FFFFFF"/>
        <w:spacing w:before="0" w:beforeAutospacing="0" w:after="199" w:afterAutospacing="0" w:line="540" w:lineRule="atLeast"/>
        <w:jc w:val="center"/>
        <w:textAlignment w:val="baseline"/>
        <w:rPr>
          <w:b/>
          <w:bCs/>
          <w:color w:val="222222"/>
          <w:sz w:val="28"/>
          <w:szCs w:val="28"/>
        </w:rPr>
      </w:pPr>
      <w:r w:rsidRPr="004700C9">
        <w:rPr>
          <w:b/>
          <w:bCs/>
          <w:color w:val="222222"/>
          <w:sz w:val="28"/>
          <w:szCs w:val="28"/>
        </w:rPr>
        <w:t>МИНИСТЕРСТВО СТРОИТЕЛЬСТВА И ЖИЛИЩНО-КОММУНАЛЬНОГО</w:t>
      </w:r>
      <w:r w:rsidRPr="004700C9">
        <w:rPr>
          <w:b/>
          <w:bCs/>
          <w:color w:val="222222"/>
          <w:sz w:val="28"/>
          <w:szCs w:val="28"/>
        </w:rPr>
        <w:br/>
        <w:t>ХОЗЯЙСТВА РОССИЙСКОЙ ФЕДЕРАЦИИ</w:t>
      </w:r>
    </w:p>
    <w:p w:rsidR="004700C9" w:rsidRPr="004700C9" w:rsidRDefault="004700C9" w:rsidP="004700C9">
      <w:pPr>
        <w:pStyle w:val="pc"/>
        <w:shd w:val="clear" w:color="auto" w:fill="FFFFFF"/>
        <w:spacing w:before="0" w:beforeAutospacing="0" w:after="199" w:afterAutospacing="0" w:line="540" w:lineRule="atLeast"/>
        <w:jc w:val="center"/>
        <w:textAlignment w:val="baseline"/>
        <w:rPr>
          <w:b/>
          <w:bCs/>
          <w:color w:val="222222"/>
          <w:sz w:val="28"/>
          <w:szCs w:val="28"/>
        </w:rPr>
      </w:pPr>
      <w:r w:rsidRPr="004700C9">
        <w:rPr>
          <w:b/>
          <w:bCs/>
          <w:color w:val="222222"/>
          <w:sz w:val="28"/>
          <w:szCs w:val="28"/>
        </w:rPr>
        <w:t>ПИСЬМО</w:t>
      </w:r>
      <w:bookmarkStart w:id="0" w:name="_GoBack"/>
      <w:bookmarkEnd w:id="0"/>
      <w:r w:rsidRPr="004700C9">
        <w:rPr>
          <w:b/>
          <w:bCs/>
          <w:color w:val="222222"/>
          <w:sz w:val="28"/>
          <w:szCs w:val="28"/>
        </w:rPr>
        <w:br/>
        <w:t>от 12 февраля 2021 г. N 5265-ТБ/02</w:t>
      </w:r>
    </w:p>
    <w:p w:rsidR="004700C9" w:rsidRPr="004700C9" w:rsidRDefault="004700C9" w:rsidP="004700C9">
      <w:pPr>
        <w:pStyle w:val="a3"/>
        <w:shd w:val="clear" w:color="auto" w:fill="FFFFFF"/>
        <w:spacing w:before="0" w:beforeAutospacing="0" w:after="199" w:afterAutospacing="0"/>
        <w:jc w:val="both"/>
        <w:textAlignment w:val="baseline"/>
        <w:rPr>
          <w:color w:val="222222"/>
          <w:sz w:val="28"/>
          <w:szCs w:val="28"/>
        </w:rPr>
      </w:pPr>
      <w:r w:rsidRPr="004700C9">
        <w:rPr>
          <w:color w:val="222222"/>
          <w:sz w:val="28"/>
          <w:szCs w:val="28"/>
        </w:rPr>
        <w:t>Правовой департамент Министерства строительства и жилищно-коммунального хозяйства Российской Федерации рассмотрел обращение и по поставленным в нем вопросам сообщает следующее.</w:t>
      </w:r>
    </w:p>
    <w:p w:rsidR="004700C9" w:rsidRPr="004700C9" w:rsidRDefault="004700C9" w:rsidP="004700C9">
      <w:pPr>
        <w:pStyle w:val="a3"/>
        <w:shd w:val="clear" w:color="auto" w:fill="FFFFFF"/>
        <w:spacing w:before="0" w:beforeAutospacing="0" w:after="0" w:afterAutospacing="0"/>
        <w:jc w:val="both"/>
        <w:textAlignment w:val="baseline"/>
        <w:rPr>
          <w:color w:val="222222"/>
          <w:sz w:val="28"/>
          <w:szCs w:val="28"/>
        </w:rPr>
      </w:pPr>
      <w:proofErr w:type="gramStart"/>
      <w:r w:rsidRPr="004700C9">
        <w:rPr>
          <w:color w:val="222222"/>
          <w:sz w:val="28"/>
          <w:szCs w:val="28"/>
        </w:rPr>
        <w:t>Исходя из совокупности положений части 2 статьи </w:t>
      </w:r>
      <w:hyperlink r:id="rId5" w:history="1">
        <w:r w:rsidRPr="004700C9">
          <w:rPr>
            <w:rStyle w:val="a4"/>
            <w:color w:val="1B6DFD"/>
            <w:sz w:val="28"/>
            <w:szCs w:val="28"/>
            <w:bdr w:val="none" w:sz="0" w:space="0" w:color="auto" w:frame="1"/>
          </w:rPr>
          <w:t>53</w:t>
        </w:r>
      </w:hyperlink>
      <w:r w:rsidRPr="004700C9">
        <w:rPr>
          <w:color w:val="222222"/>
          <w:sz w:val="28"/>
          <w:szCs w:val="28"/>
        </w:rPr>
        <w:t> и пункта 22 статьи </w:t>
      </w:r>
      <w:hyperlink r:id="rId6" w:history="1">
        <w:r w:rsidRPr="004700C9">
          <w:rPr>
            <w:rStyle w:val="a4"/>
            <w:color w:val="1B6DFD"/>
            <w:sz w:val="28"/>
            <w:szCs w:val="28"/>
            <w:bdr w:val="none" w:sz="0" w:space="0" w:color="auto" w:frame="1"/>
          </w:rPr>
          <w:t>1 Градостроительного кодекса Российской Федерации</w:t>
        </w:r>
      </w:hyperlink>
      <w:r w:rsidRPr="004700C9">
        <w:rPr>
          <w:color w:val="222222"/>
          <w:sz w:val="28"/>
          <w:szCs w:val="28"/>
        </w:rPr>
        <w:t> (далее - Кодекс) строительный контроль является функцией технического заказчика и может выполняться только членом саморегулируемой организации в области строительства, реконструкции, капитального ремонта, сноса объектов капитального строительства, за исключением случаев, предусмотренных частями 2.1 и 2.2 статьи 52 Кодекса.</w:t>
      </w:r>
      <w:proofErr w:type="gramEnd"/>
    </w:p>
    <w:p w:rsidR="004700C9" w:rsidRPr="004700C9" w:rsidRDefault="004700C9" w:rsidP="004700C9">
      <w:pPr>
        <w:pStyle w:val="a3"/>
        <w:shd w:val="clear" w:color="auto" w:fill="FFFFFF"/>
        <w:spacing w:before="0" w:beforeAutospacing="0" w:after="199" w:afterAutospacing="0"/>
        <w:jc w:val="both"/>
        <w:textAlignment w:val="baseline"/>
        <w:rPr>
          <w:color w:val="222222"/>
          <w:sz w:val="28"/>
          <w:szCs w:val="28"/>
        </w:rPr>
      </w:pPr>
      <w:r w:rsidRPr="004700C9">
        <w:rPr>
          <w:color w:val="222222"/>
          <w:sz w:val="28"/>
          <w:szCs w:val="28"/>
        </w:rPr>
        <w:t>Законодательством о градостроительной деятельности не установлены особые требования к членам саморегулируемой организации, выполняющим функции технического заказчика, в том числе осуществляющим строительный контроль на основании договора. В этой связи к таким лицам предъявляются общие требования, установленные внутренними документами саморегулируемой организации с учетом минимальных квалификационных требований, определенных частью 6 статьи 55.5 Кодекса.</w:t>
      </w:r>
    </w:p>
    <w:p w:rsidR="004700C9" w:rsidRPr="004700C9" w:rsidRDefault="004700C9" w:rsidP="004700C9">
      <w:pPr>
        <w:pStyle w:val="a3"/>
        <w:shd w:val="clear" w:color="auto" w:fill="FFFFFF"/>
        <w:spacing w:before="0" w:beforeAutospacing="0" w:after="199" w:afterAutospacing="0"/>
        <w:jc w:val="both"/>
        <w:textAlignment w:val="baseline"/>
        <w:rPr>
          <w:color w:val="222222"/>
          <w:sz w:val="28"/>
          <w:szCs w:val="28"/>
        </w:rPr>
      </w:pPr>
      <w:proofErr w:type="gramStart"/>
      <w:r w:rsidRPr="004700C9">
        <w:rPr>
          <w:color w:val="222222"/>
          <w:sz w:val="28"/>
          <w:szCs w:val="28"/>
        </w:rPr>
        <w:t>В соответствии с частями 10 - 13 статьи 55.16 Кодекса уровень ответственности по компенсационному фонду возмещения вреда саморегулируемой организации определяется исходя из максимальной стоимости договора подряда, который планируют выполнять индивидуальный предприниматель, юридическое лицо, уровень ответственности по компенсационному фонду обеспечения договорных обязательств саморегулируемой организации - исходя из предельного размера обязательств по договорам подряда, которые индивидуальный предприниматель, юридическое лицо намерены заключить с использованием конкурентных</w:t>
      </w:r>
      <w:proofErr w:type="gramEnd"/>
      <w:r w:rsidRPr="004700C9">
        <w:rPr>
          <w:color w:val="222222"/>
          <w:sz w:val="28"/>
          <w:szCs w:val="28"/>
        </w:rPr>
        <w:t xml:space="preserve"> способов.</w:t>
      </w:r>
    </w:p>
    <w:p w:rsidR="004700C9" w:rsidRPr="004700C9" w:rsidRDefault="004700C9" w:rsidP="004700C9">
      <w:pPr>
        <w:pStyle w:val="a3"/>
        <w:shd w:val="clear" w:color="auto" w:fill="FFFFFF"/>
        <w:spacing w:before="0" w:beforeAutospacing="0" w:after="199" w:afterAutospacing="0"/>
        <w:jc w:val="both"/>
        <w:textAlignment w:val="baseline"/>
        <w:rPr>
          <w:color w:val="222222"/>
          <w:sz w:val="28"/>
          <w:szCs w:val="28"/>
        </w:rPr>
      </w:pPr>
      <w:r w:rsidRPr="004700C9">
        <w:rPr>
          <w:color w:val="222222"/>
          <w:sz w:val="28"/>
          <w:szCs w:val="28"/>
        </w:rPr>
        <w:t>В этой связи обязательность членства в саморегулируемой организации, а также уровень ответственности члена саморегулируемой организации, имеющего намерение выполнять по договору строительный контроль, определяются исходя из размера обязательств по договору о строительстве, реконструкции, капитальном ремонте объекта капитального строительства, по которому планируется осуществление этого строительного контроля.</w:t>
      </w:r>
    </w:p>
    <w:p w:rsidR="004700C9" w:rsidRPr="004700C9" w:rsidRDefault="004700C9" w:rsidP="004700C9">
      <w:pPr>
        <w:pStyle w:val="a3"/>
        <w:shd w:val="clear" w:color="auto" w:fill="FFFFFF"/>
        <w:spacing w:before="0" w:beforeAutospacing="0" w:after="0" w:afterAutospacing="0"/>
        <w:jc w:val="both"/>
        <w:textAlignment w:val="baseline"/>
        <w:rPr>
          <w:color w:val="222222"/>
          <w:sz w:val="28"/>
          <w:szCs w:val="28"/>
        </w:rPr>
      </w:pPr>
      <w:r w:rsidRPr="004700C9">
        <w:rPr>
          <w:color w:val="222222"/>
          <w:sz w:val="28"/>
          <w:szCs w:val="28"/>
        </w:rPr>
        <w:lastRenderedPageBreak/>
        <w:t>Следует обратить внимание, что в соответствии с пунктом 2 Правил подготовки нормативных правовых актов федеральных органов исполнительной власти и их государственной регистрации, утвержденных </w:t>
      </w:r>
      <w:hyperlink r:id="rId7" w:history="1">
        <w:r w:rsidRPr="004700C9">
          <w:rPr>
            <w:rStyle w:val="a4"/>
            <w:color w:val="1B6DFD"/>
            <w:sz w:val="28"/>
            <w:szCs w:val="28"/>
            <w:bdr w:val="none" w:sz="0" w:space="0" w:color="auto" w:frame="1"/>
          </w:rPr>
          <w:t>постановлением Правительства Российской Федерации от 13 августа 1997 года N 1009</w:t>
        </w:r>
      </w:hyperlink>
      <w:r w:rsidRPr="004700C9">
        <w:rPr>
          <w:color w:val="222222"/>
          <w:sz w:val="28"/>
          <w:szCs w:val="28"/>
        </w:rPr>
        <w:t>, письма федеральных органов исполнительной власти не являются нормативными правовыми актами.</w:t>
      </w:r>
    </w:p>
    <w:p w:rsidR="004700C9" w:rsidRPr="004700C9" w:rsidRDefault="004700C9" w:rsidP="004700C9">
      <w:pPr>
        <w:pStyle w:val="a3"/>
        <w:shd w:val="clear" w:color="auto" w:fill="FFFFFF"/>
        <w:spacing w:before="0" w:beforeAutospacing="0" w:after="199" w:afterAutospacing="0"/>
        <w:jc w:val="both"/>
        <w:textAlignment w:val="baseline"/>
        <w:rPr>
          <w:color w:val="222222"/>
          <w:sz w:val="28"/>
          <w:szCs w:val="28"/>
        </w:rPr>
      </w:pPr>
      <w:r w:rsidRPr="004700C9">
        <w:rPr>
          <w:color w:val="222222"/>
          <w:sz w:val="28"/>
          <w:szCs w:val="28"/>
        </w:rPr>
        <w:t>Таким образом, следует учитывать, что письма Минстроя России и его структурных подразделений, в которых разъясняются вопросы применения нормативных правовых актов, не содержат правовых норм, не направлены на установление, изменение или отмену правовых норм, а содержащиеся в них разъяснения не могут рассматриваться в качестве общеобязательных государственных предписаний постоянного или временного характера.</w:t>
      </w:r>
    </w:p>
    <w:p w:rsidR="004700C9" w:rsidRPr="004700C9" w:rsidRDefault="004700C9" w:rsidP="004700C9">
      <w:pPr>
        <w:jc w:val="both"/>
        <w:rPr>
          <w:rFonts w:ascii="Times New Roman" w:hAnsi="Times New Roman" w:cs="Times New Roman"/>
          <w:sz w:val="28"/>
          <w:szCs w:val="28"/>
        </w:rPr>
      </w:pPr>
    </w:p>
    <w:p w:rsidR="004700C9" w:rsidRPr="004700C9" w:rsidRDefault="004700C9" w:rsidP="004700C9">
      <w:pPr>
        <w:jc w:val="right"/>
        <w:rPr>
          <w:rFonts w:ascii="Times New Roman" w:hAnsi="Times New Roman" w:cs="Times New Roman"/>
          <w:sz w:val="28"/>
          <w:szCs w:val="28"/>
        </w:rPr>
      </w:pPr>
      <w:r w:rsidRPr="004700C9">
        <w:rPr>
          <w:rFonts w:ascii="Times New Roman" w:hAnsi="Times New Roman" w:cs="Times New Roman"/>
          <w:color w:val="222222"/>
          <w:sz w:val="28"/>
          <w:szCs w:val="28"/>
          <w:shd w:val="clear" w:color="auto" w:fill="FFFFFF"/>
        </w:rPr>
        <w:t>Заместитель директора</w:t>
      </w:r>
      <w:r w:rsidRPr="004700C9">
        <w:rPr>
          <w:rFonts w:ascii="Times New Roman" w:hAnsi="Times New Roman" w:cs="Times New Roman"/>
          <w:color w:val="222222"/>
          <w:sz w:val="28"/>
          <w:szCs w:val="28"/>
        </w:rPr>
        <w:br/>
      </w:r>
      <w:r w:rsidRPr="004700C9">
        <w:rPr>
          <w:rFonts w:ascii="Times New Roman" w:hAnsi="Times New Roman" w:cs="Times New Roman"/>
          <w:color w:val="222222"/>
          <w:sz w:val="28"/>
          <w:szCs w:val="28"/>
          <w:shd w:val="clear" w:color="auto" w:fill="FFFFFF"/>
        </w:rPr>
        <w:t>Правового департамента</w:t>
      </w:r>
      <w:r w:rsidRPr="004700C9">
        <w:rPr>
          <w:rFonts w:ascii="Times New Roman" w:hAnsi="Times New Roman" w:cs="Times New Roman"/>
          <w:color w:val="222222"/>
          <w:sz w:val="28"/>
          <w:szCs w:val="28"/>
        </w:rPr>
        <w:br/>
      </w:r>
      <w:r w:rsidRPr="004700C9">
        <w:rPr>
          <w:rFonts w:ascii="Times New Roman" w:hAnsi="Times New Roman" w:cs="Times New Roman"/>
          <w:color w:val="222222"/>
          <w:sz w:val="28"/>
          <w:szCs w:val="28"/>
          <w:shd w:val="clear" w:color="auto" w:fill="FFFFFF"/>
        </w:rPr>
        <w:t>Т.Н.БАРМИНА</w:t>
      </w:r>
    </w:p>
    <w:p w:rsidR="00A92255" w:rsidRPr="004700C9" w:rsidRDefault="00A92255" w:rsidP="004700C9">
      <w:pPr>
        <w:jc w:val="both"/>
        <w:rPr>
          <w:rFonts w:ascii="Times New Roman" w:hAnsi="Times New Roman" w:cs="Times New Roman"/>
          <w:sz w:val="28"/>
          <w:szCs w:val="28"/>
        </w:rPr>
      </w:pPr>
    </w:p>
    <w:sectPr w:rsidR="00A92255" w:rsidRPr="004700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21D"/>
    <w:rsid w:val="004700C9"/>
    <w:rsid w:val="005A021D"/>
    <w:rsid w:val="00A92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0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4700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4700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00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0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4700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4700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00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laws.ru/goverment/Postanovlenie-Pravitelstva-RF-ot-13.08.1997-N-100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ulaws.ru/Gradostroitelnyy-kodeks/Glava-1/Statya-1/" TargetMode="External"/><Relationship Id="rId5" Type="http://schemas.openxmlformats.org/officeDocument/2006/relationships/hyperlink" Target="https://rulaws.ru/Gradostroitelnyy-kodeks/Glava-6/Statya-5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2800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Килькинова</dc:creator>
  <cp:lastModifiedBy>Людмила Килькинова</cp:lastModifiedBy>
  <cp:revision>2</cp:revision>
  <dcterms:created xsi:type="dcterms:W3CDTF">2024-11-01T11:08:00Z</dcterms:created>
  <dcterms:modified xsi:type="dcterms:W3CDTF">2024-11-01T11:08:00Z</dcterms:modified>
</cp:coreProperties>
</file>